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E611">
      <w:pPr>
        <w:adjustRightInd w:val="0"/>
        <w:snapToGrid w:val="0"/>
        <w:rPr>
          <w:rFonts w:hint="eastAsia" w:ascii="Times New Roman" w:hAnsi="Times New Roman" w:cs="Times New Roman"/>
        </w:rPr>
      </w:pPr>
    </w:p>
    <w:p w14:paraId="0CEDEADB">
      <w:pPr>
        <w:adjustRightInd w:val="0"/>
        <w:snapToGrid w:val="0"/>
        <w:rPr>
          <w:rFonts w:hint="eastAsia" w:ascii="Times New Roman" w:hAnsi="Times New Roman" w:cs="Times New Roman"/>
        </w:rPr>
      </w:pPr>
    </w:p>
    <w:p w14:paraId="39E27B38">
      <w:pPr>
        <w:adjustRightInd w:val="0"/>
        <w:snapToGrid w:val="0"/>
        <w:rPr>
          <w:rFonts w:hint="eastAsia" w:ascii="Times New Roman" w:hAnsi="Times New Roman" w:cs="Times New Roman"/>
        </w:rPr>
      </w:pPr>
    </w:p>
    <w:p w14:paraId="06EC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/>
        </w:rPr>
      </w:pPr>
    </w:p>
    <w:p w14:paraId="1481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/>
        </w:rPr>
      </w:pPr>
    </w:p>
    <w:p w14:paraId="1EF1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关于印发《济南市2025年“互联网+全民</w:t>
      </w:r>
    </w:p>
    <w:p w14:paraId="3CD7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义务植树”工作方案》的通知</w:t>
      </w:r>
    </w:p>
    <w:p w14:paraId="11BCA884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14:paraId="08137A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各区县（功能区）园林和林业绿化部门，机关有关处室、局属有关单位：</w:t>
      </w:r>
    </w:p>
    <w:p w14:paraId="2F881D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现将《济南市2025年“互联网+全民义务植树”工作方案》印发给你们，请结合实际，认真组织实施。</w:t>
      </w:r>
    </w:p>
    <w:p w14:paraId="4164D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28" w:firstLineChars="200"/>
        <w:textAlignment w:val="auto"/>
        <w:rPr>
          <w:rFonts w:hint="eastAsia" w:ascii="仿宋_GB2312" w:hAnsi="仿宋_GB2312" w:cs="仿宋_GB231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7366000</wp:posOffset>
            </wp:positionV>
            <wp:extent cx="1552575" cy="1543050"/>
            <wp:effectExtent l="0" t="0" r="9525" b="0"/>
            <wp:wrapNone/>
            <wp:docPr id="9" name="图片 20" descr="园林和林业绿化局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 descr="园林和林业绿化局红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0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0066D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6AF524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济南市园林和林业绿化局    </w:t>
      </w:r>
    </w:p>
    <w:p w14:paraId="10F46D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2025年2月</w:t>
      </w:r>
      <w:r>
        <w:rPr>
          <w:rFonts w:hint="eastAsia" w:ascii="仿宋_GB2312" w:hAnsi="仿宋_GB2312" w:cs="仿宋_GB2312"/>
          <w:lang w:val="en-US" w:eastAsia="zh-CN"/>
        </w:rPr>
        <w:t>28</w:t>
      </w:r>
      <w:r>
        <w:rPr>
          <w:rFonts w:hint="eastAsia" w:ascii="仿宋_GB2312" w:hAnsi="仿宋_GB2312" w:cs="仿宋_GB2312"/>
        </w:rPr>
        <w:t xml:space="preserve">日       </w:t>
      </w:r>
    </w:p>
    <w:p w14:paraId="7899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right"/>
        <w:textAlignment w:val="auto"/>
        <w:rPr>
          <w:rFonts w:hint="eastAsia" w:ascii="仿宋_GB2312" w:hAnsi="仿宋_GB2312" w:cs="仿宋_GB2312"/>
        </w:rPr>
      </w:pPr>
    </w:p>
    <w:p w14:paraId="38CB01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01" w:beforeLines="50" w:line="540" w:lineRule="exact"/>
        <w:ind w:firstLine="628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（此件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公开）</w:t>
      </w:r>
    </w:p>
    <w:p w14:paraId="3A4CC9D4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1C22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C05EB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济南市2025年“互联网+全民义务植树”</w:t>
      </w:r>
    </w:p>
    <w:p w14:paraId="5C91D5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案</w:t>
      </w:r>
    </w:p>
    <w:p w14:paraId="26300B2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</w:p>
    <w:p w14:paraId="1A4877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为深入践行习近平生态文明思想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推动全民义务植树不断走深走实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根据《全民义务植树尽责形式管理办法（试行）》《济南市绿化条例》规定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及国家和省绿委办通知</w:t>
      </w:r>
      <w:r>
        <w:rPr>
          <w:rFonts w:hint="eastAsia" w:ascii="仿宋_GB2312" w:eastAsia="仿宋_GB2312"/>
          <w:kern w:val="0"/>
          <w:sz w:val="32"/>
          <w:szCs w:val="32"/>
        </w:rPr>
        <w:t>要求，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结合我市“泉民植树”品牌建设实际，</w:t>
      </w:r>
      <w:r>
        <w:rPr>
          <w:rFonts w:hint="eastAsia" w:ascii="仿宋_GB2312" w:eastAsia="仿宋_GB2312"/>
          <w:kern w:val="0"/>
          <w:sz w:val="32"/>
          <w:szCs w:val="32"/>
        </w:rPr>
        <w:t>制定本方案。</w:t>
      </w:r>
    </w:p>
    <w:p w14:paraId="72585B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楷体_GB2312" w:eastAsia="楷体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强化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组织动员，提高全社会知晓度和参与度</w:t>
      </w:r>
    </w:p>
    <w:p w14:paraId="327326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（一）充分发挥组织协同作用。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各区县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功能区）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发挥林长制统筹作用，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以绿委办为枢纽，激活部门指导作用，压实组织责任链条，将义务植树目标任务逐级分解，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用好国家和省、市义务植树平台，积极整合资源要素，多方响应群众需求，以形式多样的尽责活动推动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构建“纵向贯通、横向联动、社会共融”的协同体系，让履行植树义务成为泉城新风尚。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局办公室、风景园林管理处、绿化监督处、林业生态建设处、森林资源和湿地保护监督处、自然保护地管理处、项目推进处、防灾减灾与安全监督处，区县园林和林业绿化部门，市园林和林业绿化事业发展中心、市公园发展服务中心、济南天下第一泉风景区服务中心、市林果技术推广和产业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56D41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（二）重点加强主题活动宣导。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利用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植树节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国际森林日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防治荒漠化与干旱日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全民义务植树决议日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等重要时间节点，开展义务植树主题宣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传。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全民义务植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树月（2025年3月）期间，按照“谁组织、谁宣传”的原则，各区县（功能区）及有关单位要做好活动策划，有计划、有重点开展密集宣传活动。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结合“1+7+N”尽责体系建设，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各区县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（功能区）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及有关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单位要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深入挖掘义务植树活动的创新做法、经验成效、先进典型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，及时向市局报送相关信息，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持续开展全方位、多角度宣传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局办公室、风景园林管理处、绿化监督处、林业生态建设处、森林资源和湿地保护监督处、自然保护地管理处、项目推进处、防灾减灾与安全监督处，区县园林和林业绿化部门，市园林和林业绿化事业发展中心、市公园发展服务中心、济南天下第一泉风景区服务中心、市林果技术推广和产业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7E801C8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（三）常态化开展生态文明宣导。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围绕“泉民植树”品牌建设，结合“项目提升年”工作部署和中央财政国土绿化示范项目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开展2025年全民义务植树和国土绿化工作系列宣传报道，突出宣传我市国土绿化、自然教育、城市绿化品质提升等最新进展和工作成效，引导广大市民群众积极投身美丽济南建设。广泛宣传习近平生态文明思想，宣传全民义务植树有关政策规定，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统筹用好报纸、广播、电视等传统媒体和网站、微信、手机客户端等新媒体平台，扩大宣传覆盖面，讲好义务植树故事，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营造全民参与浓厚氛围，切实提高广大市民群众参加义务植树活动的责任感、荣誉感、获得感。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局办公室、风景园林管理处、绿化监督处、林业生态建设处、森林资源和湿地保护监督处、自然保护地管理处、项目推进处、防灾减灾与安全监督处，区县园林和林业绿化部门，市园林和林业绿化事业发展中心、市公园发展服务中心、济南天下第一泉风景区服务中心、市林果技术推广和产业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4ECCAB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二、用好网络平台，推动线上线下加速融合</w:t>
      </w:r>
    </w:p>
    <w:p w14:paraId="4B0CED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持续健全完善市县两级线上预约平台“管理员”队伍，强化培训指导，切实提高各级平台服务保障水平。按照“应上线、尽上线”原则，做好面向公众开放、定向</w:t>
      </w:r>
      <w:r>
        <w:rPr>
          <w:rFonts w:hint="eastAsia" w:ascii="仿宋_GB2312" w:hAnsi="微软雅黑" w:eastAsia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组织等各类尽责活动的线上发布，最大限度提高活动上线率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。强化“济南市林场森林质量提升”“济南市古树养护复壮”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val="en-US" w:eastAsia="zh-CN"/>
        </w:rPr>
        <w:t>2个“云端植树”项目宣介推广，让更多人足不出户即可“指尖履‘植’”。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加大全民义务植树网、济南市全民义务植树网上预约平台推广使用力度，引导各类尽责主体“线上预约、线下履责”。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风景园林管理处、绿化监督处、林业生态建设处、森林资源和湿地保护监督处、自然保护地管理处、项目推进处、防灾减灾与安全监督处，区县园林和林业绿化部门，市园林和林业绿化事业发展中心、市公园发展服务中心、济南天下第一泉风景区服务中心、市林果技术推广和产业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2C6CC1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三、优化基地布局，完善各级尽责基地体系</w:t>
      </w:r>
    </w:p>
    <w:p w14:paraId="6C173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val="en-US" w:eastAsia="zh-CN"/>
        </w:rPr>
        <w:t>优化完善原有63处各类尽责基地，对形式单一、内容空泛、服务保障能力差的基地实行退出机制，补充完善一批形式多样、内容丰富的尽责基地。新认定县级义务植树基地40处，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试点建设街镇级义务植树尽责基地，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val="en-US" w:eastAsia="zh-CN"/>
        </w:rPr>
        <w:t>形成省、市、区县、街镇四级尽责基地体系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。发挥驻村第一书记作用，探索建立乡村义务植树尽责基地，满足农村居民尽责需求。支持有条件的企事业单位，结合自身实际，建立单位义务植树尽责基地，方便职工参与尽责；鼓励有条件的企业，利用自身优势资源，建立社会化义务植树尽责基地，有效补充四级尽责基地体系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林业生态建设处，区县园林和林业绿化部门，市公园发展服务中心、市林场、市园林和林业科学研究院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74605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活动统筹，推深走实植树月活动</w:t>
      </w:r>
    </w:p>
    <w:p w14:paraId="32880E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eastAsia="zh-CN"/>
        </w:rPr>
        <w:t>自</w:t>
      </w:r>
      <w:r>
        <w:rPr>
          <w:rFonts w:hint="eastAsia" w:ascii="仿宋_GB2312" w:hAnsi="微软雅黑" w:eastAsia="仿宋_GB2312"/>
          <w:kern w:val="0"/>
          <w:sz w:val="32"/>
          <w:szCs w:val="32"/>
          <w:shd w:val="clear" w:color="auto" w:fill="FFFFFF"/>
          <w:lang w:val="en-US" w:eastAsia="zh-CN"/>
        </w:rPr>
        <w:t>2025年起，将每年3月份定为“互联网+全民义务植树”月。</w:t>
      </w:r>
    </w:p>
    <w:p w14:paraId="13712D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（一）发挥各级领导示范带头作用。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eastAsia="zh-CN"/>
        </w:rPr>
        <w:t>各级绿委办要认真筹备本级领导尽责活动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，示范带动各系统广大干部职工积极参与义务植树。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市绿委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办要精心筹备省市领导义务植树活动，做好服务保障工作</w:t>
      </w:r>
      <w:r>
        <w:rPr>
          <w:rFonts w:hint="eastAsia" w:ascii="仿宋_GB2312"/>
          <w:color w:val="auto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各区县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功能区）绿委办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要认真筹备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eastAsia="zh-CN"/>
        </w:rPr>
        <w:t>本区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县、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街道（镇）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领导干部义务植树活动</w:t>
      </w:r>
      <w:r>
        <w:rPr>
          <w:rFonts w:hint="eastAsia" w:ascii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鼓励各级党政领导和广大机关干部带头落实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eastAsia="zh-CN"/>
        </w:rPr>
        <w:t>抚育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管护等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多种尽责形式。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各级绿委办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0BE172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eastAsia="zh-CN"/>
        </w:rPr>
        <w:t>（二）提高社会化尽责活动服务保障能力。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各区县（功能区）要结合辖区在建绿化工程、全民义务植树尽责基地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建设，</w:t>
      </w:r>
      <w:r>
        <w:rPr>
          <w:rFonts w:hint="eastAsia" w:ascii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科学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设置群众性植树</w:t>
      </w:r>
      <w:r>
        <w:rPr>
          <w:rFonts w:hint="eastAsia" w:ascii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尽责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点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；各市级尽责基地要结合工作实际，在植树月期间，策划推出一批多样化尽责活动，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满足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社会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公众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尽责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需求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鼓励有条件的社区、行政村，结合苗木管护、乡村绿化等工作，开辟供本辖区群众参与的植树尽责点，方便群众就近参与。各区县（功能区）及各类尽责基地，要发挥专业优势，为机关、企事业单位、社会组织等在本辖区开展的义务植树活动，提供相应的技术服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林业生态建设处，区县园林和林业绿化部门，市公园发展服务中心、市林场、市园林和林业科学研究院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0A4C75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五、打造多元尽责场景，夯实“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1+7+N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”尽责体系</w:t>
      </w:r>
    </w:p>
    <w:p w14:paraId="720C8A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（一）全民义务植树+公园绿道。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结合2025年各类公园、古树保护园及绿道建设，引导社会团体、市民群众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参与苗木栽植、养护管理、</w:t>
      </w:r>
      <w:r>
        <w:rPr>
          <w:rFonts w:hint="default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设施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维护</w:t>
      </w:r>
      <w:r>
        <w:rPr>
          <w:rFonts w:hint="default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卫生保洁等尽责活动；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结合“一城山色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·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登山打卡”活动，发动民间协会、志愿者组织等社会力量，通过环保净山等互动活动履行尽责义务。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全年组织各类尽责活动不少于15场</w:t>
      </w:r>
      <w:r>
        <w:rPr>
          <w:rFonts w:hint="eastAsia" w:ascii="仿宋_GB2312" w:hAnsi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项目推进处，区县园林部门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245CE6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（二）全民义务植树+共建花园。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围绕巩固共建花园建设成果，组织企事业单位、社区居民参与“共建花园”选址、设计、建设、管护，引导社区居民参与共建共管活动，试点开展绿地认建认养，打造群众身边的绿色空间，提高市民的参与感、获得感。全年组织各类尽责活动不少于80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绿化监督处，区县园林部门，市园林和林业绿化事业发展中心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205295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（三）全民义务植树+护林防火。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以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12处山区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林场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65个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防火重点街镇为依托，在清明节、“五一”、防灾减灾日等节点，引导市民群众、驴友群体等结合户外健身运动，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通过参与森林防火宣传、野外违规用火上报、修建防火隔离带或防火道路，林业有害生物防治科普宣传、病虫害监测上报、病虫害防治等护林防火工作，履行尽责义务。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全年组织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各类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尽责活动不少于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防灾减灾与安全监督处，区县林业部门，市林场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7E35198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（四）全民义务植树+绿美乡村。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依托已创建的省森林村居、市绿化示范村、乡村绿化提升示范片区，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由各街镇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牵头，发挥基层党组织作用，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鼓励驻村第一书记、村两委成员带头，在绿美乡村片区建设中，引导群众通过参与现有绿化养护管理、绿化方案设计、公共绿地建设管理、苗木栽植管护、村居环境卫生整治等工作参与尽责。全年组织各类尽责活动不少于100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林业生态建设处，区县林业部门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363290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（五）全民义务植树+共享绿地。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结合共享绿地品牌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提升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引导社会公众在已建成开放的共享绿地内，开展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共享绿地养护管理、卫生保洁、科普教育、公益宣传等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，搭建义务植树尽责新场景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；鼓励热爱园林事业的市民志愿者，通过参与新开放共享绿地选址、活动策划、组织实施、场地维护等工作，履行尽责义务。全年组织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各类尽责活动不少于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  <w:t>场次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风景园林管理处，区县园林部门，市公园发展服务中心、济南天下第一泉风景区服务中心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797E5C16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default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（六）全民义务植树+自然教育。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围绕讲好生态文明故事，将</w:t>
      </w:r>
      <w:r>
        <w:rPr>
          <w:rFonts w:hint="eastAsia" w:ascii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植树</w:t>
      </w:r>
      <w:r>
        <w:rPr>
          <w:rFonts w:hint="eastAsia" w:ascii="仿宋_GB2312" w:eastAsia="仿宋_GB2312" w:hAnsiTheme="minorHAnsi" w:cstheme="minorBidi"/>
          <w:kern w:val="0"/>
          <w:sz w:val="32"/>
          <w:szCs w:val="32"/>
          <w:shd w:val="clear" w:color="auto" w:fill="FFFFFF"/>
          <w:lang w:val="en-US" w:eastAsia="zh-CN" w:bidi="ar-SA"/>
        </w:rPr>
        <w:t>尽责融入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文化园林打造，结合自然教育体系完善、“自然泉城”品牌创建、植物科普基地打造等工作，引导广大园艺爱好者、热心市民群众、中小学生等群体，通过参与自然教育课程研发，担任自然教育师或自然教育志愿者，参与自然教育基地、科普基地内设施维护、卫生保洁等工作，自觉宣传并参与野生动植物保护救助，主动开展动植物科普、自然教育等活动。全年组织各类尽责活动不少于50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自然保护地管理处，区县林业部门，市公园发展服务中心、济南天下第一泉风景区服务中心、市林场、市园林和林业科学研究院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5DAFFE1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default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（七）全民义务植树+湿地保护。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依托济西、白云湖、玫瑰湖等湿地公园，结合湿地观鸟品牌</w:t>
      </w:r>
      <w:r>
        <w:rPr>
          <w:rFonts w:hint="eastAsia" w:ascii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打造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，开展湿地特色尽责活动。引导学校、企业、志愿者团队等社会组织和群体，前往湿地公园开展保护鸟类栖息地植树活动，面向青少年开展“义务植树”+“湿地观鸟”双主题自然教育，号召志愿者共同参与湿地植被恢复、湿地景观维护等湿地生态修复工作。全年组织各类尽责活动不少于40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（森林资源和湿地保护监督处，区县林业部门，湿地公园管理机构）</w:t>
      </w:r>
    </w:p>
    <w:p w14:paraId="6D33388F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（八）全民义务植树+绿化管护提升。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在全市范围内选取部分非直管、协调困难、管理问题长期未解决的社区游园、口袋公园、游园等绿地，作为全民义务植树尽责活动区域。通过卫生清理、植物修剪、浇水施肥等义务尽责方式，提升绿化管护水平，提高市民爱绿护绿意识；结合园林式居住区（单位）培育，引导广大企事业单位、社区居民积极参与苗木栽植、抚育管护、设施修建和维护、志愿服务等义务尽责活动。全年组织各类尽责活动不少于70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绿化监督处，区县园林部门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03E67D69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default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（九）全民义务植树+多元尽责场景。</w:t>
      </w:r>
      <w:r>
        <w:rPr>
          <w:rFonts w:hint="eastAsia" w:ascii="仿宋_GB2312" w:eastAsia="仿宋_GB2312" w:cstheme="minorBidi"/>
          <w:kern w:val="0"/>
          <w:sz w:val="32"/>
          <w:szCs w:val="32"/>
          <w:shd w:val="clear" w:color="auto" w:fill="FFFFFF"/>
          <w:lang w:val="en-US" w:eastAsia="zh-CN" w:bidi="ar-SA"/>
        </w:rPr>
        <w:t>在7个系列基础上，进一步拓展“全民义务植树+”活动新场景，满足更多人不同尽责需求，推动实现全年尽责、多样尽责、方便尽责。结合全系统重点工作，将参与古树名木保护管理、园林花市、园林市集、林果花卉产业发展、“泉民园艺中心”建设运维等工作纳入义务植树尽责范畴，引导市民游客、社会群体以“主人翁”身份为工作开展建言献策、提供技术支持、直接参与相关工作开展、其他志愿服务等，并将其工作量折算成尽责义务。同时，结合不同群体尽责需求，适当增加尽责活动乐趣，提高活动吸引力，增强市民群众参与尽责活动的主动性和积极性。全年组织各类尽责活动不少于40场次。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风景园林管理处、绿化监督处、林业生态建设处、森林资源和湿地保护监督处、自然保护地管理处、项目推进处、防灾减灾与安全监督处，区县园林和林业绿化部门，市园林和林业绿化事业发展中心、市公园发展服务中心、市林果技术推广和产业服务中心、市林场、市园林和林业科学研究院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</w:p>
    <w:p w14:paraId="14AE488F">
      <w:pPr>
        <w:keepNext w:val="0"/>
        <w:keepLines w:val="0"/>
        <w:pageBreakBefore w:val="0"/>
        <w:widowControl w:val="0"/>
        <w:tabs>
          <w:tab w:val="left" w:pos="2965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压实工作责任，优质高效做好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服务保障</w:t>
      </w:r>
      <w:r>
        <w:rPr>
          <w:rFonts w:ascii="黑体" w:hAnsi="黑体" w:eastAsia="黑体"/>
          <w:kern w:val="0"/>
          <w:sz w:val="32"/>
          <w:szCs w:val="32"/>
        </w:rPr>
        <w:tab/>
      </w:r>
    </w:p>
    <w:p w14:paraId="33ACC3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区县（功能区）绿委办、园林和林业绿化部门及有关单位要切实履行好主体责任，全面做好义务植树的统筹协调、组织发动、服务保障等各项工作。各有关单位要按照年度工作计划，细化各类活动策划组织、场地安排、技术指导、宣传动员等保障措施，并结合实际，组织实施特色鲜明的尽责活动，满足群众多样化尽责需求。</w:t>
      </w:r>
    </w:p>
    <w:p w14:paraId="17301B7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</w:pPr>
    </w:p>
    <w:p w14:paraId="50C095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28" w:firstLineChars="200"/>
        <w:textAlignment w:val="auto"/>
        <w:rPr>
          <w:rFonts w:hint="eastAsia" w:ascii="仿宋_GB2312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2025年全民义务植树活动安排</w:t>
      </w:r>
    </w:p>
    <w:p w14:paraId="117C91FD">
      <w:pPr>
        <w:adjustRightInd w:val="0"/>
        <w:snapToGrid w:val="0"/>
        <w:ind w:firstLine="628" w:firstLineChars="200"/>
        <w:rPr>
          <w:rFonts w:hint="eastAsia" w:ascii="仿宋_GB231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74" w:bottom="1701" w:left="1644" w:header="851" w:footer="992" w:gutter="0"/>
          <w:cols w:space="720" w:num="1"/>
          <w:docGrid w:type="linesAndChars" w:linePitch="597" w:charSpace="-1259"/>
        </w:sectPr>
      </w:pPr>
    </w:p>
    <w:p w14:paraId="2DFEF8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</w:t>
      </w:r>
    </w:p>
    <w:p w14:paraId="3EC53D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2025年全民义务植树活动安排</w:t>
      </w:r>
    </w:p>
    <w:tbl>
      <w:tblPr>
        <w:tblStyle w:val="15"/>
        <w:tblW w:w="14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976"/>
        <w:gridCol w:w="1249"/>
        <w:gridCol w:w="944"/>
        <w:gridCol w:w="933"/>
        <w:gridCol w:w="933"/>
        <w:gridCol w:w="933"/>
        <w:gridCol w:w="933"/>
        <w:gridCol w:w="934"/>
        <w:gridCol w:w="934"/>
        <w:gridCol w:w="881"/>
        <w:gridCol w:w="1216"/>
        <w:gridCol w:w="1137"/>
      </w:tblGrid>
      <w:tr w14:paraId="0F383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227" w:hRule="atLeast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14:paraId="03936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2E7FF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义务植树尽责基地（个）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47A55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植树尽责点（个）</w:t>
            </w:r>
          </w:p>
        </w:tc>
        <w:tc>
          <w:tcPr>
            <w:tcW w:w="8834" w:type="dxa"/>
            <w:gridSpan w:val="9"/>
            <w:shd w:val="clear" w:color="auto" w:fill="auto"/>
            <w:vAlign w:val="center"/>
          </w:tcPr>
          <w:p w14:paraId="5D3AB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“全民义务植树+”（场次）</w:t>
            </w:r>
          </w:p>
        </w:tc>
      </w:tr>
      <w:tr w14:paraId="51A9C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vMerge w:val="continue"/>
            <w:shd w:val="clear" w:color="auto" w:fill="auto"/>
            <w:vAlign w:val="center"/>
          </w:tcPr>
          <w:p w14:paraId="0353D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9" w:type="dxa"/>
            <w:vMerge w:val="continue"/>
            <w:shd w:val="clear" w:color="auto" w:fill="auto"/>
            <w:vAlign w:val="center"/>
          </w:tcPr>
          <w:p w14:paraId="4BE8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vMerge w:val="continue"/>
            <w:shd w:val="clear" w:color="auto" w:fill="auto"/>
            <w:vAlign w:val="center"/>
          </w:tcPr>
          <w:p w14:paraId="0D3F6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6847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公园绿道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5915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共建花园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9841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护林防火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1347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绿美乡村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5CE7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共享绿地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13AE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自然教育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11DF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湿地保护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BFCB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绿化管护提升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1A28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多元尽责场景</w:t>
            </w:r>
          </w:p>
        </w:tc>
      </w:tr>
      <w:tr w14:paraId="20890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547B3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D43A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887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7D3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9EFC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F799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A9B3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35AA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8F5B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7C3E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BA9A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7C1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40</w:t>
            </w:r>
          </w:p>
        </w:tc>
      </w:tr>
      <w:tr w14:paraId="38450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56D68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历下区自然资源局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203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64D0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7D93A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19759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510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AEAC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71D97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FC3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D71D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3ED37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10A3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43FEF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39A15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历下区园林绿化服务中心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2D44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CB1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9B4F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E04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5A747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4099C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6357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5512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B43E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50A7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B7A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78A80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46AC3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市中区自然资源局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103D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5A7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A71D2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1600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D2E4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642E0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77FA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C980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7DB5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755049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16B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642D0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777EB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市中区园林绿化服务中心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14C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D55F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5F68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F1F6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BEE4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5735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D3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77F5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89C1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D026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39754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124E2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11551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槐荫区自然资源局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6EA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5CE8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DE18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D2E5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A139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A0F13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9523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C62F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8849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806E2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8C679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3B1A5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78894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槐荫区园林绿化服务中心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DE4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45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2DB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8A6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802C7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05AD3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3F95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F1D7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4274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1AD6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476B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664CE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64B86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天桥区自然资源局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23F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87A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4223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6AF9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1FE7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9E4B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490D1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6DB6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D3119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211122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4665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682CE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6D032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天桥区园林绿化服务中心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33CD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589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3BBD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464D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12E7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2F22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FDF1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54178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45901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5D59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724D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2AD21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425CA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历城区园林和林业绿化局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C79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A6B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938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4AD1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8D6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437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CB0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5EF5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D9C01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3679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09F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</w:t>
            </w:r>
          </w:p>
        </w:tc>
      </w:tr>
      <w:tr w14:paraId="49731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436A2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长清区园林和林业绿化局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5C5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4FF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E543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165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CFB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D7EE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A64C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529A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7639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8276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593C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</w:t>
            </w:r>
          </w:p>
        </w:tc>
      </w:tr>
      <w:tr w14:paraId="30CF5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4B7DA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章丘区园林和林业绿化局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DD1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7F3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9E2C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809F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F63D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3D4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FED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3A64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0012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FAED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3517A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</w:t>
            </w:r>
          </w:p>
        </w:tc>
      </w:tr>
      <w:tr w14:paraId="531D4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6A149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济阳区自然资源局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96E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1CF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EF0C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6DBE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8B34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2A21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E752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ACA4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71501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437F4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5DFBC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34E65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26EED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济阳区城市公用事业发展中心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AD4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833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B325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59F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2758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3C90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4160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B6D3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909C0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4694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4F62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1EE15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35B1C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莱芜区园林绿化和林业服务中心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C592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F51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327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DE09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1E99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8EA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F018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3B2A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0293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FFBC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9C975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2</w:t>
            </w:r>
          </w:p>
        </w:tc>
      </w:tr>
      <w:tr w14:paraId="38091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547D8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钢城区自然资源局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DB77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946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2151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2B26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7B0F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F794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5328B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1FF8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4BDE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69390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21CC6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5BEFA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43EAB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钢城区住房和城乡建设局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703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C23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0126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9BD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DCD7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3976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C7CA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82B4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9D00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3919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D6CF6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38FCB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643EF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平阴县自然资源局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891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18A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E2F2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4D522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E67E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4DAA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BADC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71E9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C57C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78791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78173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647EE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60B85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平阴县环卫绿化管护中心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7603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19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5D67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63E7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D541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FA06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D69A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9E51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B4A4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E35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C4E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3E11C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50D6F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商河县自然资源局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AEF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EB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59A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2E231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B7D9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7594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CDF9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A1FE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0806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BF726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124A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2279E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1FD7A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商河县住房和城乡建设局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C93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8E5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B610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1B14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C9E2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6F68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7127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FC2A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105E0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329F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6F361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</w:t>
            </w:r>
          </w:p>
        </w:tc>
      </w:tr>
      <w:tr w14:paraId="7733F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7578A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济南高新区管委会建设管理部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B61D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E23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7DAD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F617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0B63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BB22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337A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4AB4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A5610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D179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2DEC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88E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2DEE7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市南部山区管委会生态保护和绿化发展局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E69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CC0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B158B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39E8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F9F8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AAD7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EFC2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B6C9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1B356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CE18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5259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477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781E4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济南新旧动能转换起步区管委会建设管理部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6C4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0F9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294C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019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F1BE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D7A7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3144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AF8F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9BA9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2C93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9249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A6D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01B2A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市公园发展服务中心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D95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454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D3F8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BB22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C6B6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9153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B07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CE54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E4E7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D7A2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DA07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2A65A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5B529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济南天下第一泉风景区服务中心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69E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A21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C41B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5ADE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CDA2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CA51E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586E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E680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85A9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2A609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B959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2937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1DE67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市林果技术推广和产业服务中心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BDA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8B3F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88499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814D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776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CB1B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C230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F342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B6EE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EB87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3B9F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4AD1E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2A4C3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市林场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D0B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CC5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983C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DE79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0B66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69BB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51BB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13B6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D752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9A5A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8C84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 w14:paraId="26C43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732CB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市园林和林业科学研究院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6AA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E5CD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3EFB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6D16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63AA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0B93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AF90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86CC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C952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3D12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9626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64056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7" w:hRule="atLeast"/>
          <w:jc w:val="center"/>
        </w:trPr>
        <w:tc>
          <w:tcPr>
            <w:tcW w:w="2976" w:type="dxa"/>
            <w:shd w:val="clear" w:color="auto" w:fill="auto"/>
            <w:vAlign w:val="center"/>
          </w:tcPr>
          <w:p w14:paraId="2C465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山东济西湿地管理有限公司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77A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FBBF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7024F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10542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AF347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599F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7727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2261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2FE0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方正宋三_GBK" w:hAnsi="方正宋三_GBK" w:eastAsia="方正宋三_GBK" w:cs="方正宋三_GBK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63FA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5B3A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宋三_GBK" w:hAnsi="方正宋三_GBK" w:eastAsia="方正宋三_GBK" w:cs="方正宋三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782DD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28" w:firstLineChars="200"/>
        <w:jc w:val="center"/>
        <w:textAlignment w:val="auto"/>
        <w:rPr>
          <w:rFonts w:hint="eastAsia" w:ascii="仿宋_GB2312" w:hAnsi="Arial" w:eastAsia="仿宋_GB2312" w:cs="Arial"/>
          <w:bCs/>
          <w:kern w:val="0"/>
          <w:sz w:val="32"/>
          <w:szCs w:val="32"/>
        </w:rPr>
      </w:pPr>
    </w:p>
    <w:p w14:paraId="21534F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firstLine="204" w:firstLineChars="100"/>
        <w:textAlignment w:val="auto"/>
        <w:rPr>
          <w:rFonts w:hint="eastAsia" w:ascii="方正书宋_GBK" w:hAnsi="仿宋_GB2312" w:eastAsia="方正书宋_GBK" w:cs="仿宋_GB2312"/>
          <w:sz w:val="21"/>
          <w:szCs w:val="21"/>
        </w:rPr>
      </w:pPr>
    </w:p>
    <w:p w14:paraId="0AE3376B">
      <w:pPr>
        <w:adjustRightInd w:val="0"/>
        <w:snapToGrid w:val="0"/>
        <w:ind w:firstLine="628" w:firstLineChars="200"/>
        <w:rPr>
          <w:rFonts w:ascii="仿宋_GB2312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644" w:right="1418" w:bottom="1474" w:left="1701" w:header="851" w:footer="992" w:gutter="0"/>
          <w:cols w:space="720" w:num="1"/>
          <w:docGrid w:type="linesAndChars" w:linePitch="597" w:charSpace="-1259"/>
        </w:sectPr>
      </w:pPr>
    </w:p>
    <w:p w14:paraId="2B526E95">
      <w:pPr>
        <w:adjustRightInd w:val="0"/>
        <w:snapToGrid w:val="0"/>
        <w:spacing w:line="500" w:lineRule="exact"/>
        <w:ind w:firstLine="628" w:firstLineChars="200"/>
        <w:rPr>
          <w:rFonts w:hint="eastAsia" w:ascii="仿宋_GB2312"/>
        </w:rPr>
      </w:pPr>
    </w:p>
    <w:p w14:paraId="0F7D7E6F">
      <w:pPr>
        <w:adjustRightInd w:val="0"/>
        <w:snapToGrid w:val="0"/>
        <w:spacing w:line="500" w:lineRule="exact"/>
        <w:ind w:firstLine="628" w:firstLineChars="200"/>
        <w:rPr>
          <w:rFonts w:hint="eastAsia" w:ascii="仿宋_GB2312"/>
        </w:rPr>
      </w:pPr>
    </w:p>
    <w:p w14:paraId="1BC3DEEE">
      <w:pPr>
        <w:adjustRightInd w:val="0"/>
        <w:snapToGrid w:val="0"/>
        <w:spacing w:line="20" w:lineRule="exact"/>
      </w:pPr>
      <w:bookmarkStart w:id="0" w:name="_GoBack"/>
      <w:bookmarkEnd w:id="0"/>
    </w:p>
    <w:sectPr>
      <w:headerReference r:id="rId10" w:type="default"/>
      <w:footerReference r:id="rId12" w:type="default"/>
      <w:headerReference r:id="rId11" w:type="even"/>
      <w:footerReference r:id="rId13" w:type="even"/>
      <w:pgSz w:w="11906" w:h="16838"/>
      <w:pgMar w:top="1985" w:right="1474" w:bottom="1701" w:left="1644" w:header="851" w:footer="992" w:gutter="0"/>
      <w:cols w:space="720" w:num="1"/>
      <w:docGrid w:type="linesAndChars" w:linePitch="59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15F90F-0E5A-43C9-9C21-25150A721A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5A4A31-C896-4568-B1F8-4CC37DE41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CB9EE1-8782-4EDD-BFF0-D153B775DF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0D5E1E0-8A48-4693-BCC1-2CA632F7D6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652C2AE-D397-421B-878E-FD4709474F33}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32A5E407-E1BC-4D55-BC15-A958A4D7A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DBCC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4572635</wp:posOffset>
              </wp:positionH>
              <wp:positionV relativeFrom="paragraph">
                <wp:posOffset>-251460</wp:posOffset>
              </wp:positionV>
              <wp:extent cx="1007745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C5FA6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05pt;margin-top:-19.8pt;height:144pt;width:79.35pt;mso-position-horizontal-relative:margin;z-index:251659264;mso-width-relative:page;mso-height-relative:page;" filled="f" stroked="f" coordsize="21600,21600" o:gfxdata="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F9ax9gAAAALAQAADwAAAAAAAAABACAAAAAi&#10;AAAAZHJzL2Rvd25yZXYueG1sUEsBAhQAFAAAAAgAh07iQIMxCqvRAQAAmw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C5FA6">
                    <w:pPr>
                      <w:pStyle w:val="10"/>
                      <w:jc w:val="center"/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0FAAD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-232410</wp:posOffset>
              </wp:positionV>
              <wp:extent cx="1007745" cy="2813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8AF76">
                          <w:pPr>
                            <w:pStyle w:val="10"/>
                            <w:jc w:val="center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-18.3pt;height:22.15pt;width:79.35pt;mso-position-horizontal-relative:margin;z-index:251660288;mso-width-relative:page;mso-height-relative:page;" filled="f" stroked="f" coordsize="21600,21600" o:gfxdata="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qO70O1gAAAAYBAAAPAAAAAAAAAAEAIAAAACIAAABk&#10;cnMvZG93bnJldi54bWxQSwECFAAUAAAACACHTuJAoILfc88BAACa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E8AF76">
                    <w:pPr>
                      <w:pStyle w:val="10"/>
                      <w:jc w:val="center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B3B4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-452120</wp:posOffset>
              </wp:positionH>
              <wp:positionV relativeFrom="paragraph">
                <wp:posOffset>-1190625</wp:posOffset>
              </wp:positionV>
              <wp:extent cx="365125" cy="1007745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46F0A">
                          <w:pPr>
                            <w:pStyle w:val="10"/>
                            <w:jc w:val="center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35.6pt;margin-top:-93.75pt;height:79.35pt;width:28.75pt;mso-position-horizontal-relative:margin;z-index:251661312;mso-width-relative:page;mso-height-relative:page;" filled="f" stroked="f" coordsize="21600,21600" o:gfxdata="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ul6gtgAAAAMAQAADwAAAAAAAAABACAAAAAiAAAA&#10;ZHJzL2Rvd25yZXYueG1sUEsBAhQAFAAAAAgAh07iQGTs2WvOAQAAjgMAAA4AAAAAAAAAAQAgAAAA&#10;J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38B46F0A">
                    <w:pPr>
                      <w:pStyle w:val="10"/>
                      <w:jc w:val="center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8FBA">
    <w:pPr>
      <w:pStyle w:val="10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4639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0E3F3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n7rSMkBAACZAwAADgAAAGRycy9lMm9Eb2MueG1srVPNjtMwEL4j8Q6W&#10;79TZSkA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fut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0E3F3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EF35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-253365</wp:posOffset>
              </wp:positionV>
              <wp:extent cx="1007745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A0EF0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0pt;margin-top:-19.95pt;height:144pt;width:79.35pt;mso-position-horizontal-relative:margin;z-index:251664384;mso-width-relative:page;mso-height-relative:page;" filled="f" stroked="f" coordsize="21600,21600" o:gfxdata="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pw9bWAAAACAEAAA8AAAAAAAAAAQAgAAAAIgAA&#10;AGRycy9kb3ducmV2LnhtbFBLAQIUABQAAAAIAIdO4kDIBSmg0QEAAJs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BA0EF0">
                    <w:pPr>
                      <w:pStyle w:val="10"/>
                      <w:jc w:val="center"/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书宋_GBK" w:hAnsi="方正书宋_GBK" w:eastAsia="方正书宋_GBK" w:cs="方正书宋_GBK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CAB11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D97B3"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64A63">
    <w:pPr>
      <w:pStyle w:val="11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-381635</wp:posOffset>
              </wp:positionH>
              <wp:positionV relativeFrom="paragraph">
                <wp:posOffset>531495</wp:posOffset>
              </wp:positionV>
              <wp:extent cx="306070" cy="1007745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0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FA67B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30.05pt;margin-top:41.85pt;height:79.35pt;width:24.1pt;mso-position-horizontal-relative:margin;z-index:251662336;mso-width-relative:page;mso-height-relative:page;" filled="f" stroked="f" coordsize="21600,21600" o:gfxdata="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FO1CXYAAAACgEAAA8AAAAAAAAAAQAgAAAAIgAAAGRy&#10;cy9kb3ducmV2LnhtbFBLAQIUABQAAAAIAIdO4kAzvB5HzAEAAI4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41EFA67B">
                    <w:pPr>
                      <w:pStyle w:val="10"/>
                      <w:jc w:val="center"/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书宋_GBK" w:hAnsi="方正书宋_GBK" w:eastAsia="方正书宋_GBK" w:cs="方正书宋_GBK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5FC5">
    <w:pPr>
      <w:pStyle w:val="11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D69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7"/>
  <w:drawingGridVerticalSpacing w:val="59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DFlZGIwOGNhZWIzNTgyZTk3YjRmYmY5NmZlMmQifQ=="/>
  </w:docVars>
  <w:rsids>
    <w:rsidRoot w:val="00B9163A"/>
    <w:rsid w:val="00002902"/>
    <w:rsid w:val="000041A4"/>
    <w:rsid w:val="00053A06"/>
    <w:rsid w:val="00060358"/>
    <w:rsid w:val="00084C2F"/>
    <w:rsid w:val="000A267F"/>
    <w:rsid w:val="000A40C2"/>
    <w:rsid w:val="000A422B"/>
    <w:rsid w:val="000B0C4B"/>
    <w:rsid w:val="000B30A0"/>
    <w:rsid w:val="000C5646"/>
    <w:rsid w:val="000D2ED0"/>
    <w:rsid w:val="000F0654"/>
    <w:rsid w:val="000F684D"/>
    <w:rsid w:val="0011559F"/>
    <w:rsid w:val="0011578B"/>
    <w:rsid w:val="0015153A"/>
    <w:rsid w:val="001554AA"/>
    <w:rsid w:val="00156781"/>
    <w:rsid w:val="001706B8"/>
    <w:rsid w:val="0018435D"/>
    <w:rsid w:val="001A34F0"/>
    <w:rsid w:val="001C3C19"/>
    <w:rsid w:val="001D2D1D"/>
    <w:rsid w:val="001D518A"/>
    <w:rsid w:val="00277758"/>
    <w:rsid w:val="00281DAA"/>
    <w:rsid w:val="002B0235"/>
    <w:rsid w:val="002C0FE7"/>
    <w:rsid w:val="002C18CD"/>
    <w:rsid w:val="002C3F56"/>
    <w:rsid w:val="002D4779"/>
    <w:rsid w:val="002F3FB0"/>
    <w:rsid w:val="002F7C5C"/>
    <w:rsid w:val="00317258"/>
    <w:rsid w:val="00341D3B"/>
    <w:rsid w:val="003446D0"/>
    <w:rsid w:val="00370B2C"/>
    <w:rsid w:val="003A757C"/>
    <w:rsid w:val="003B4457"/>
    <w:rsid w:val="003D532E"/>
    <w:rsid w:val="003F4D38"/>
    <w:rsid w:val="0046153F"/>
    <w:rsid w:val="00487B74"/>
    <w:rsid w:val="0049030A"/>
    <w:rsid w:val="00494FFB"/>
    <w:rsid w:val="004A5DE1"/>
    <w:rsid w:val="004F15FD"/>
    <w:rsid w:val="00542A29"/>
    <w:rsid w:val="005443CB"/>
    <w:rsid w:val="00573849"/>
    <w:rsid w:val="005918E3"/>
    <w:rsid w:val="005B0FA3"/>
    <w:rsid w:val="005B1DC9"/>
    <w:rsid w:val="0062136A"/>
    <w:rsid w:val="00640FDC"/>
    <w:rsid w:val="00650F0C"/>
    <w:rsid w:val="007175F1"/>
    <w:rsid w:val="00733FDF"/>
    <w:rsid w:val="0074657B"/>
    <w:rsid w:val="007A7000"/>
    <w:rsid w:val="007E5964"/>
    <w:rsid w:val="00806E59"/>
    <w:rsid w:val="00845EAB"/>
    <w:rsid w:val="0086474B"/>
    <w:rsid w:val="008B5811"/>
    <w:rsid w:val="008D5B05"/>
    <w:rsid w:val="008F0F89"/>
    <w:rsid w:val="008F5CF1"/>
    <w:rsid w:val="009075C5"/>
    <w:rsid w:val="009800A4"/>
    <w:rsid w:val="00980485"/>
    <w:rsid w:val="00986DB5"/>
    <w:rsid w:val="009C3731"/>
    <w:rsid w:val="009D06C7"/>
    <w:rsid w:val="009D6EE7"/>
    <w:rsid w:val="009E1CC1"/>
    <w:rsid w:val="009F366F"/>
    <w:rsid w:val="009F72F3"/>
    <w:rsid w:val="00A23222"/>
    <w:rsid w:val="00A2656E"/>
    <w:rsid w:val="00AC5914"/>
    <w:rsid w:val="00AD64D7"/>
    <w:rsid w:val="00B02DCF"/>
    <w:rsid w:val="00B16F4C"/>
    <w:rsid w:val="00B5058A"/>
    <w:rsid w:val="00B6417C"/>
    <w:rsid w:val="00B9163A"/>
    <w:rsid w:val="00BA67D3"/>
    <w:rsid w:val="00BF469A"/>
    <w:rsid w:val="00C13E6E"/>
    <w:rsid w:val="00C34DAD"/>
    <w:rsid w:val="00C44D8D"/>
    <w:rsid w:val="00C50727"/>
    <w:rsid w:val="00C54580"/>
    <w:rsid w:val="00CE19C4"/>
    <w:rsid w:val="00CE1A17"/>
    <w:rsid w:val="00CE3392"/>
    <w:rsid w:val="00D07D0E"/>
    <w:rsid w:val="00D1607E"/>
    <w:rsid w:val="00D60186"/>
    <w:rsid w:val="00D63FEB"/>
    <w:rsid w:val="00D84003"/>
    <w:rsid w:val="00D90A92"/>
    <w:rsid w:val="00DE5CA0"/>
    <w:rsid w:val="00DF7675"/>
    <w:rsid w:val="00E11670"/>
    <w:rsid w:val="00E70982"/>
    <w:rsid w:val="00EB3EE1"/>
    <w:rsid w:val="00ED3ACA"/>
    <w:rsid w:val="00EE630A"/>
    <w:rsid w:val="00EF08CC"/>
    <w:rsid w:val="00EF1546"/>
    <w:rsid w:val="00F14BF7"/>
    <w:rsid w:val="00F449C7"/>
    <w:rsid w:val="00F56EBF"/>
    <w:rsid w:val="00F91FC7"/>
    <w:rsid w:val="00FA6571"/>
    <w:rsid w:val="00FC573C"/>
    <w:rsid w:val="00FC7CB6"/>
    <w:rsid w:val="00FD1D0C"/>
    <w:rsid w:val="00FE1E4B"/>
    <w:rsid w:val="00FF0F31"/>
    <w:rsid w:val="00FF6B2C"/>
    <w:rsid w:val="02B96468"/>
    <w:rsid w:val="03084CFA"/>
    <w:rsid w:val="04473600"/>
    <w:rsid w:val="056B77C2"/>
    <w:rsid w:val="05834B0B"/>
    <w:rsid w:val="06FD269B"/>
    <w:rsid w:val="08653653"/>
    <w:rsid w:val="0942400C"/>
    <w:rsid w:val="09DF25C2"/>
    <w:rsid w:val="0A652A31"/>
    <w:rsid w:val="0B116715"/>
    <w:rsid w:val="0B61769D"/>
    <w:rsid w:val="0B9D4534"/>
    <w:rsid w:val="0E2F5830"/>
    <w:rsid w:val="0FDC5544"/>
    <w:rsid w:val="10182016"/>
    <w:rsid w:val="11847C41"/>
    <w:rsid w:val="12264123"/>
    <w:rsid w:val="12C34799"/>
    <w:rsid w:val="13B80076"/>
    <w:rsid w:val="148A692E"/>
    <w:rsid w:val="14FE7D0A"/>
    <w:rsid w:val="16CB1E6E"/>
    <w:rsid w:val="16D8458B"/>
    <w:rsid w:val="18E5190D"/>
    <w:rsid w:val="1A2A3350"/>
    <w:rsid w:val="1B11782B"/>
    <w:rsid w:val="1BA86C22"/>
    <w:rsid w:val="1D937229"/>
    <w:rsid w:val="1E285EBA"/>
    <w:rsid w:val="1EBE52E4"/>
    <w:rsid w:val="1FB5190D"/>
    <w:rsid w:val="1FB77434"/>
    <w:rsid w:val="1FC42E2D"/>
    <w:rsid w:val="218E4C40"/>
    <w:rsid w:val="21ED538F"/>
    <w:rsid w:val="224476CD"/>
    <w:rsid w:val="23D507D0"/>
    <w:rsid w:val="24B94CDB"/>
    <w:rsid w:val="259D3570"/>
    <w:rsid w:val="26795443"/>
    <w:rsid w:val="282C1C5B"/>
    <w:rsid w:val="28887BBF"/>
    <w:rsid w:val="28BA7F95"/>
    <w:rsid w:val="2A133E00"/>
    <w:rsid w:val="2AE5103C"/>
    <w:rsid w:val="2CF55A3F"/>
    <w:rsid w:val="2FC13CF7"/>
    <w:rsid w:val="302428C3"/>
    <w:rsid w:val="315E5A4B"/>
    <w:rsid w:val="318A2BFA"/>
    <w:rsid w:val="33152997"/>
    <w:rsid w:val="352C72C0"/>
    <w:rsid w:val="355E6877"/>
    <w:rsid w:val="35A06EF3"/>
    <w:rsid w:val="37366729"/>
    <w:rsid w:val="39205BF2"/>
    <w:rsid w:val="39BD2209"/>
    <w:rsid w:val="39CA42DC"/>
    <w:rsid w:val="3A3951BD"/>
    <w:rsid w:val="3AAC3BE1"/>
    <w:rsid w:val="3B397075"/>
    <w:rsid w:val="3C001911"/>
    <w:rsid w:val="3D257C7B"/>
    <w:rsid w:val="3E680512"/>
    <w:rsid w:val="3E7964D0"/>
    <w:rsid w:val="40D9197E"/>
    <w:rsid w:val="414C2839"/>
    <w:rsid w:val="41E737D9"/>
    <w:rsid w:val="42A11B51"/>
    <w:rsid w:val="43AD2778"/>
    <w:rsid w:val="45246A6A"/>
    <w:rsid w:val="45252F0E"/>
    <w:rsid w:val="45280308"/>
    <w:rsid w:val="45A74009"/>
    <w:rsid w:val="46BB51AC"/>
    <w:rsid w:val="485D476D"/>
    <w:rsid w:val="49D47519"/>
    <w:rsid w:val="4A824E5C"/>
    <w:rsid w:val="4AF1147F"/>
    <w:rsid w:val="4B7A5635"/>
    <w:rsid w:val="4C365A00"/>
    <w:rsid w:val="4D227D33"/>
    <w:rsid w:val="4D5819A6"/>
    <w:rsid w:val="4E65030E"/>
    <w:rsid w:val="4EA529C9"/>
    <w:rsid w:val="500C2DC9"/>
    <w:rsid w:val="50153B7F"/>
    <w:rsid w:val="50A96F43"/>
    <w:rsid w:val="50B74C36"/>
    <w:rsid w:val="511A021E"/>
    <w:rsid w:val="51DC2BA6"/>
    <w:rsid w:val="54210D44"/>
    <w:rsid w:val="5457656B"/>
    <w:rsid w:val="54BE47E5"/>
    <w:rsid w:val="56F75D8C"/>
    <w:rsid w:val="57250B4B"/>
    <w:rsid w:val="57914433"/>
    <w:rsid w:val="579B337A"/>
    <w:rsid w:val="580249E9"/>
    <w:rsid w:val="59215342"/>
    <w:rsid w:val="594B0611"/>
    <w:rsid w:val="5B5163B3"/>
    <w:rsid w:val="5CB25FAA"/>
    <w:rsid w:val="5E89196A"/>
    <w:rsid w:val="5EA92062"/>
    <w:rsid w:val="5FC3452C"/>
    <w:rsid w:val="60DD4245"/>
    <w:rsid w:val="63B55005"/>
    <w:rsid w:val="643248A8"/>
    <w:rsid w:val="64A5112F"/>
    <w:rsid w:val="65ED39F9"/>
    <w:rsid w:val="670047E9"/>
    <w:rsid w:val="671D35ED"/>
    <w:rsid w:val="67D1751A"/>
    <w:rsid w:val="67EE31DB"/>
    <w:rsid w:val="69514369"/>
    <w:rsid w:val="6A720342"/>
    <w:rsid w:val="6AD20B92"/>
    <w:rsid w:val="6B264A3A"/>
    <w:rsid w:val="6B866FB7"/>
    <w:rsid w:val="6CBA4CDB"/>
    <w:rsid w:val="6E3D4575"/>
    <w:rsid w:val="6EC95E08"/>
    <w:rsid w:val="720553A9"/>
    <w:rsid w:val="72F316A6"/>
    <w:rsid w:val="758673A0"/>
    <w:rsid w:val="75970CAF"/>
    <w:rsid w:val="78774825"/>
    <w:rsid w:val="7A637111"/>
    <w:rsid w:val="7CF56B1E"/>
    <w:rsid w:val="7DB63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22"/>
    <w:qFormat/>
    <w:uiPriority w:val="0"/>
    <w:pPr>
      <w:spacing w:after="120"/>
    </w:pPr>
    <w:rPr>
      <w:rFonts w:eastAsia="宋体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="宋体"/>
      <w:sz w:val="21"/>
      <w:szCs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semiHidden/>
    <w:qFormat/>
    <w:uiPriority w:val="0"/>
    <w:pPr>
      <w:ind w:left="420" w:leftChars="200"/>
    </w:pPr>
    <w:rPr>
      <w:rFonts w:ascii="Calibri" w:hAnsi="Calibri" w:eastAsia="宋体"/>
      <w:sz w:val="21"/>
      <w:szCs w:val="22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4">
    <w:name w:val="Body Text First Indent 2"/>
    <w:basedOn w:val="7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Heading 1 Char"/>
    <w:basedOn w:val="17"/>
    <w:link w:val="2"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Heading 3 Char"/>
    <w:basedOn w:val="17"/>
    <w:link w:val="4"/>
    <w:qFormat/>
    <w:locked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Body Text Char"/>
    <w:basedOn w:val="17"/>
    <w:link w:val="6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23">
    <w:name w:val="font51"/>
    <w:basedOn w:val="1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2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12</Pages>
  <Words>5327</Words>
  <Characters>5411</Characters>
  <Lines>65</Lines>
  <Paragraphs>18</Paragraphs>
  <TotalTime>11</TotalTime>
  <ScaleCrop>false</ScaleCrop>
  <LinksUpToDate>false</LinksUpToDate>
  <CharactersWithSpaces>5438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2023-09-08T08:34:00Z</dcterms:created>
  <dc:creator>Administrator</dc:creator>
  <cp:lastModifiedBy>一笑而过</cp:lastModifiedBy>
  <cp:lastPrinted>2025-02-12T02:35:00Z</cp:lastPrinted>
  <dcterms:modified xsi:type="dcterms:W3CDTF">2026-01-08T07:06:29Z</dcterms:modified>
  <dc:title>JNCR-2020-0220001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D697DE7FA7594625A4517878B3A3C483_13</vt:lpwstr>
  </property>
  <property fmtid="{D5CDD505-2E9C-101B-9397-08002B2CF9AE}" pid="4" name="KSOTemplateDocerSaveRecord">
    <vt:lpwstr>eyJoZGlkIjoiMGI4NjE3ZTZhMDM5NmZjOWU5ODkzMDA3MzQ5ODE4ZjkiLCJ1c2VySWQiOiIzNDAxNTU2ODgifQ==</vt:lpwstr>
  </property>
</Properties>
</file>